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  <w:t>20</w:t>
      </w:r>
      <w:r>
        <w:rPr>
          <w:rFonts w:hint="eastAsia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  <w:t>22</w:t>
      </w: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  <w:t>年河北省</w:t>
      </w: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eastAsia="zh-CN"/>
        </w:rPr>
        <w:t>奖励知名工业设计奖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eastAsia="zh-CN"/>
        </w:rPr>
        <w:t>获奖项目申报书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left"/>
        <w:textAlignment w:val="center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项目名称：</w:t>
      </w:r>
      <w:r>
        <w:rPr>
          <w:rFonts w:hint="default" w:ascii="Times New Roman" w:hAnsi="Times New Roman" w:eastAsia="黑体"/>
          <w:color w:val="00000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left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     单位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名称（盖章）：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left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</w:pPr>
      <w:r>
        <w:rPr>
          <w:rFonts w:hint="default" w:ascii="Times New Roman" w:hAnsi="Times New Roman" w:eastAsia="黑体"/>
          <w:color w:val="000000"/>
          <w:sz w:val="30"/>
          <w:szCs w:val="30"/>
          <w:u w:val="none"/>
          <w:lang w:val="en-US" w:eastAsia="zh-CN"/>
        </w:rPr>
        <w:t xml:space="preserve">      所在地市：</w:t>
      </w:r>
      <w:r>
        <w:rPr>
          <w:rFonts w:hint="default" w:ascii="Times New Roman" w:hAnsi="Times New Roman" w:eastAsia="黑体"/>
          <w:color w:val="00000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黑体" w:cs="Times New Roman"/>
          <w:sz w:val="40"/>
          <w:szCs w:val="40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  <w:t xml:space="preserve">      申报日期：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黑体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黑体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</w:rPr>
      </w:pPr>
      <w:r>
        <w:rPr>
          <w:rFonts w:hint="default" w:ascii="Times New Roman" w:hAnsi="Times New Roman" w:eastAsia="黑体"/>
          <w:color w:val="000000"/>
          <w:sz w:val="32"/>
        </w:rPr>
        <w:t>河北省工业和信息化厅印制</w:t>
      </w:r>
      <w:r>
        <w:rPr>
          <w:rFonts w:hint="default" w:ascii="Times New Roman" w:hAnsi="Times New Roman" w:eastAsia="黑体"/>
          <w:color w:val="000000"/>
          <w:sz w:val="44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一、本《申报书》由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“承诺书”、“单位基本情况”、“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河北省知名工业设计奖获奖项目情况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”、“附件材料”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三、河北省知名工业设计奖获奖项目情况（表2）根据申报数量自行增加该表格，并填写序号（如表2-1、表2-2）。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四、申报单位须在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“首页”“承诺书页”盖章；</w:t>
      </w:r>
      <w:r>
        <w:rPr>
          <w:rFonts w:hint="default" w:ascii="Times New Roman" w:eastAsia="仿宋_GB2312"/>
          <w:sz w:val="32"/>
        </w:rPr>
        <w:t>各市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（含定州、辛集市）工业和信息化局、雄安新区</w:t>
      </w:r>
      <w:r>
        <w:rPr>
          <w:rFonts w:hint="default" w:ascii="Times New Roman" w:eastAsia="仿宋_GB2312"/>
          <w:sz w:val="32"/>
          <w:lang w:eastAsia="zh-CN"/>
        </w:rPr>
        <w:t>改革发展局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河北省知名工业设计奖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”表盖章推荐，涉及多个申报项目的，每个申报项目的“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河北省知名工业设计奖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”表均须盖章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《申报书》用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</w:rPr>
        <w:br w:type="page"/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承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诺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本单位自愿向河北省工业和信息化厅申报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河北省知名工业设计奖获奖项目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本单位自愿遵守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河北省工业设计发展专项资金管理办法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（冀财规〔2018〕3号）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、《关于印发&lt;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河北省资助工业设计成果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转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操作规程（试行）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&gt;等文件的通知》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（冀工信产业〔201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本单位自愿提供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河北省知名工业设计奖奖励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审查、管理、监督所需的数据资料，并为其审查工作提供方便。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申报单位法人代表签字：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年  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日</w:t>
      </w: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单位</w:t>
      </w:r>
      <w:r>
        <w:rPr>
          <w:rFonts w:hint="eastAsia" w:eastAsia="黑体"/>
          <w:sz w:val="36"/>
          <w:szCs w:val="36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495"/>
        <w:gridCol w:w="1496"/>
        <w:gridCol w:w="1529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单位名称</w:t>
            </w:r>
          </w:p>
        </w:tc>
        <w:tc>
          <w:tcPr>
            <w:tcW w:w="8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主要经营范围</w:t>
            </w:r>
          </w:p>
        </w:tc>
        <w:tc>
          <w:tcPr>
            <w:tcW w:w="8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申报联系人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210" w:firstLineChars="100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    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单位成立时间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210" w:firstLineChars="100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所有制性质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pacing w:val="-24"/>
                <w:szCs w:val="21"/>
                <w:lang w:eastAsia="zh-CN"/>
              </w:rPr>
              <w:t>统一社会信用代码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职工人数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6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其中：设计师人数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资产</w:t>
            </w:r>
            <w:r>
              <w:rPr>
                <w:rFonts w:hint="eastAsia"/>
                <w:szCs w:val="21"/>
                <w:lang w:eastAsia="zh-CN"/>
              </w:rPr>
              <w:t>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6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20" w:firstLineChars="200"/>
              <w:jc w:val="center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其中：固定资产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万元；流动资产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上年</w:t>
            </w:r>
            <w:r>
              <w:rPr>
                <w:rFonts w:hint="eastAsia"/>
                <w:szCs w:val="21"/>
                <w:lang w:eastAsia="zh-CN"/>
              </w:rPr>
              <w:t>度</w:t>
            </w:r>
            <w:r>
              <w:rPr>
                <w:rFonts w:hint="eastAsia"/>
                <w:szCs w:val="21"/>
              </w:rPr>
              <w:t>经营情况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万元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利润总额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利税总额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出口交货值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研发费用</w:t>
            </w:r>
            <w:r>
              <w:rPr>
                <w:rFonts w:hint="eastAsia"/>
                <w:szCs w:val="21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主要产品情况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产品名称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产能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其他有关情况</w:t>
            </w:r>
          </w:p>
        </w:tc>
        <w:tc>
          <w:tcPr>
            <w:tcW w:w="81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设计管理、设计团队建设、设计软件设施情况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获工业设计奖项情况，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参与制订国际、国家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、行业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标准情况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质量品牌建设情况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等，以及其他需要说明的情况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字数不限，可另附页）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注：“</w:t>
      </w:r>
      <w:r>
        <w:rPr>
          <w:rFonts w:hint="eastAsia"/>
          <w:szCs w:val="21"/>
        </w:rPr>
        <w:t>资产</w:t>
      </w:r>
      <w:r>
        <w:rPr>
          <w:rFonts w:hint="eastAsia"/>
          <w:szCs w:val="21"/>
          <w:lang w:eastAsia="zh-CN"/>
        </w:rPr>
        <w:t>总额”、“</w:t>
      </w:r>
      <w:r>
        <w:rPr>
          <w:rFonts w:hint="eastAsia"/>
          <w:szCs w:val="21"/>
        </w:rPr>
        <w:t>上年</w:t>
      </w:r>
      <w:r>
        <w:rPr>
          <w:rFonts w:hint="eastAsia"/>
          <w:szCs w:val="21"/>
          <w:lang w:eastAsia="zh-CN"/>
        </w:rPr>
        <w:t>度</w:t>
      </w:r>
      <w:r>
        <w:rPr>
          <w:rFonts w:hint="eastAsia"/>
          <w:szCs w:val="21"/>
        </w:rPr>
        <w:t>经营情况</w:t>
      </w:r>
      <w:r>
        <w:rPr>
          <w:rFonts w:hint="eastAsia"/>
          <w:szCs w:val="21"/>
          <w:lang w:eastAsia="zh-CN"/>
        </w:rPr>
        <w:t>”仅限企业填写，“主要产品情况”仅限制造企业填写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表2-1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河北省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知名工业设计奖获奖项目情况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94"/>
        <w:gridCol w:w="220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奖项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奖项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获奖证书日期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或编号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获奖作品名称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设计者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（根据设计者顺序填写，名字间用“，”隔开）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3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设计说明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（主要介绍设计理念、用途、功能，先导性、创新性、实用性、环保性、经济社会效益）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设计转化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4130" b="1460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3B8tIAAAADAQAADwAAAAAAAAABACAAAAAiAAAAZHJzL2Rvd25yZXYueG1sUEsBAhQAFAAA&#10;AAgAh07iQCPpE7j1AQAA9QMAAA4AAAAAAAAAAQAgAAAAIQEAAGRycy9lMm9Eb2MueG1sUEsFBgAA&#10;AAAGAAYAWQEAAIgFAAAAAA==&#10;">
                      <v:path/>
                      <v:fill on="f" focussize="0,0"/>
                      <v:stroke weight="1.25pt"/>
                      <v:imagedata o:title=""/>
                      <o:lock v:ext="edit" grouping="f" rotation="f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已转化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4130" b="1460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7cHy0gAAAAMBAAAPAAAAAAAAAAEAIAAAACIAAABkcnMvZG93bnJldi54bWxQSwECFAAUAAAA&#10;CACHTuJAB6vOnvQBAAD1AwAADgAAAAAAAAABACAAAAAhAQAAZHJzL2Uyb0RvYy54bWxQSwUGAAAA&#10;AAYABgBZAQAAhwUAAAAA&#10;">
                      <v:path/>
                      <v:fill on="f" focussize="0,0"/>
                      <v:stroke weight="1.25pt"/>
                      <v:imagedata o:title=""/>
                      <o:lock v:ext="edit" grouping="f" rotation="f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转化中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4130" b="1460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7twfLSAAAAAwEAAA8AAAAAAAAAAQAgAAAAIgAAAGRycy9kb3ducmV2LnhtbFBLAQIUABQA&#10;AAAIAIdO4kBPL3TT9gEAAPUDAAAOAAAAAAAAAAEAIAAAACEBAABkcnMvZTJvRG9jLnhtbFBLBQYA&#10;AAAABgAGAFkBAACJBQAAAAA=&#10;">
                      <v:path/>
                      <v:fill on="f" focussize="0,0"/>
                      <v:stroke weight="1.25pt"/>
                      <v:imagedata o:title=""/>
                      <o:lock v:ext="edit" grouping="f" rotation="f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未转化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3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转化、应用情况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（“已转化”和“转化中”的设计填写设计转化应用情况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包括实施转化的单位概况，转化过程、方式等）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市级工业和信息化主管部门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推荐意见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经初审，同意该项目申报。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月 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t>注：单个项目申报的，“表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val="en-US" w:eastAsia="zh-CN"/>
        </w:rPr>
        <w:t>2-1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val="en-US" w:eastAsia="zh-CN"/>
        </w:rPr>
        <w:t>改为“表2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t>”；多个项目申报的，复制多个表格，表格名称自行排序，如“表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val="en-US" w:eastAsia="zh-CN"/>
        </w:rPr>
        <w:t>2-1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t>”“表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val="en-US" w:eastAsia="zh-CN"/>
        </w:rPr>
        <w:t>2-2</w:t>
      </w:r>
      <w:r>
        <w:rPr>
          <w:rFonts w:hint="default" w:ascii="Times New Roman" w:hAnsi="Times New Roman" w:eastAsia="仿宋_GB2312"/>
          <w:color w:val="auto"/>
          <w:sz w:val="21"/>
          <w:szCs w:val="21"/>
          <w:lang w:eastAsia="zh-CN"/>
        </w:rPr>
        <w:t>”，且字体颜色更改为黑色。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获奖证书复印件及证明材料（验原件）；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二、获奖作品效果图两张（A4纸打印）；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三、验证网站（需提供网址）、杂志等佐证材料复印件；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四、单位营业执照复印件；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获奖作品设计方或使用方同意对方申报奖励的函；</w:t>
      </w: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其它证明材料。</w:t>
      </w: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9" w:type="first"/>
          <w:headerReference r:id="rId7" w:type="default"/>
          <w:footerReference r:id="rId8" w:type="default"/>
          <w:pgSz w:w="11906" w:h="16838"/>
          <w:pgMar w:top="1531" w:right="1418" w:bottom="1531" w:left="1418" w:header="851" w:footer="1134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XbHKC/AQAAjAMAAA4AAABkcnMvZTJvRG9jLnhtbK1TS27bMBDdF8gd&#10;CO5jyV4kh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OW9SfMwvD9GIpG5pQkj7DSYLimrmxYqbcHLPHc9/0T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12xyg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9TTVJ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177CC4"/>
    <w:rsid w:val="51177CC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2022-07-15T09:44:00Z</dcterms:created>
  <dc:creator>薛尤嘉</dc:creator>
  <cp:lastModifiedBy>薛尤嘉</cp:lastModifiedBy>
  <dcterms:modified xsi:type="dcterms:W3CDTF">2022-07-15T09:44:16Z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681073A34F78410B9FAB7752702FB9B7</vt:lpwstr>
  </property>
</Properties>
</file>