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0"/>
        </w:rPr>
      </w:pPr>
    </w:p>
    <w:p>
      <w:pPr>
        <w:rPr>
          <w:rFonts w:ascii="Times New Roman" w:hAnsi="Times New Roman" w:eastAsia="仿宋_GB2312" w:cs="Times New Roman"/>
          <w:sz w:val="30"/>
        </w:rPr>
      </w:pPr>
    </w:p>
    <w:p>
      <w:pPr>
        <w:rPr>
          <w:rFonts w:ascii="Times New Roman" w:hAnsi="Times New Roman" w:eastAsia="仿宋_GB2312" w:cs="Times New Roman"/>
          <w:sz w:val="30"/>
        </w:rPr>
      </w:pPr>
    </w:p>
    <w:p>
      <w:pPr>
        <w:rPr>
          <w:rFonts w:ascii="Times New Roman" w:hAnsi="Times New Roman" w:eastAsia="仿宋_GB2312" w:cs="Times New Roman"/>
          <w:sz w:val="30"/>
        </w:rPr>
      </w:pPr>
    </w:p>
    <w:p>
      <w:pPr>
        <w:spacing w:after="240" w:afterLines="100"/>
        <w:jc w:val="both"/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54"/>
          <w:szCs w:val="54"/>
        </w:rPr>
        <w:t>全国质量</w:t>
      </w:r>
      <w:r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  <w:t>标杆</w:t>
      </w:r>
      <w:r>
        <w:rPr>
          <w:rFonts w:hint="default" w:ascii="Times New Roman" w:hAnsi="Times New Roman" w:eastAsia="方正小标宋简体" w:cs="Times New Roman"/>
          <w:sz w:val="54"/>
          <w:szCs w:val="54"/>
        </w:rPr>
        <w:t>申报</w:t>
      </w:r>
      <w:r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  <w:t>书</w:t>
      </w:r>
    </w:p>
    <w:p>
      <w:pPr>
        <w:jc w:val="center"/>
        <w:rPr>
          <w:rFonts w:ascii="Times New Roman" w:hAnsi="Times New Roman" w:eastAsia="方正小标宋简体" w:cs="Times New Roman"/>
          <w:sz w:val="56"/>
        </w:rPr>
      </w:pPr>
    </w:p>
    <w:p>
      <w:pPr>
        <w:jc w:val="center"/>
        <w:rPr>
          <w:rFonts w:ascii="Times New Roman" w:hAnsi="Times New Roman" w:cs="Times New Roman"/>
          <w:sz w:val="52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ind w:firstLine="1600" w:firstLineChars="50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企业</w:t>
      </w:r>
      <w:r>
        <w:rPr>
          <w:rFonts w:hint="default" w:ascii="Times New Roman" w:hAnsi="Times New Roman" w:cs="Times New Roman"/>
          <w:sz w:val="32"/>
        </w:rPr>
        <w:t>名称：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sz w:val="32"/>
        </w:rPr>
        <w:t xml:space="preserve"> </w:t>
      </w:r>
      <w:r>
        <w:rPr>
          <w:rFonts w:hint="default" w:ascii="Times New Roman" w:hAnsi="Times New Roman" w:cs="Times New Roman"/>
        </w:rPr>
        <w:t>（盖章）</w:t>
      </w:r>
    </w:p>
    <w:p>
      <w:pPr>
        <w:rPr>
          <w:rFonts w:ascii="Times New Roman" w:hAnsi="Times New Roman" w:cs="Times New Roman"/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rFonts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600" w:firstLineChars="50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w:t>推荐单位：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</w:t>
      </w:r>
      <w:r>
        <w:rPr>
          <w:rFonts w:ascii="Times New Roman" w:hAnsi="Times New Roman" w:cs="Times New Roman"/>
          <w:sz w:val="32"/>
          <w:u w:val="single"/>
        </w:rPr>
        <w:t xml:space="preserve">   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</w:t>
      </w:r>
      <w:r>
        <w:rPr>
          <w:rFonts w:hint="default" w:ascii="Times New Roman" w:hAnsi="Times New Roman" w:cs="Times New Roman"/>
          <w:sz w:val="32"/>
        </w:rPr>
        <w:t xml:space="preserve"> 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填表日期:  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</w:rPr>
        <w:t xml:space="preserve"> 年 </w:t>
      </w:r>
      <w:r>
        <w:rPr>
          <w:rFonts w:ascii="Times New Roman" w:hAnsi="Times New Roman" w:cs="Times New Roman"/>
          <w:sz w:val="32"/>
        </w:rPr>
        <w:t xml:space="preserve">   </w:t>
      </w:r>
      <w:r>
        <w:rPr>
          <w:rFonts w:hint="default" w:ascii="Times New Roman" w:hAnsi="Times New Roman" w:cs="Times New Roman"/>
          <w:sz w:val="32"/>
        </w:rPr>
        <w:t xml:space="preserve">月 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spacing w:line="420" w:lineRule="exact"/>
        <w:ind w:right="258" w:rightChars="123"/>
        <w:jc w:val="both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spacing w:line="420" w:lineRule="exact"/>
        <w:ind w:right="258" w:rightChars="123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 报 说 明</w:t>
      </w:r>
    </w:p>
    <w:p>
      <w:pPr>
        <w:spacing w:before="120" w:beforeLines="50" w:after="120" w:afterLines="50" w:line="420" w:lineRule="exact"/>
        <w:rPr>
          <w:rFonts w:ascii="Times New Roman" w:hAnsi="Times New Roman" w:eastAsia="黑体" w:cs="Times New Roman"/>
          <w:sz w:val="40"/>
          <w:szCs w:val="32"/>
        </w:rPr>
      </w:pPr>
    </w:p>
    <w:p>
      <w:pPr>
        <w:numPr>
          <w:ilvl w:val="0"/>
          <w:numId w:val="1"/>
        </w:numPr>
        <w:spacing w:before="120" w:beforeLines="50" w:line="520" w:lineRule="exact"/>
        <w:ind w:left="0" w:firstLine="539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申报</w:t>
      </w:r>
      <w:r>
        <w:rPr>
          <w:rFonts w:hint="default" w:ascii="Times New Roman" w:hAnsi="Times New Roman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</w:rPr>
        <w:t>需签署全国质量</w:t>
      </w:r>
      <w:r>
        <w:rPr>
          <w:rFonts w:hint="default" w:ascii="Times New Roman" w:hAnsi="Times New Roman" w:cs="Times New Roman"/>
          <w:lang w:val="en-US" w:eastAsia="zh-CN"/>
        </w:rPr>
        <w:t>标杆</w:t>
      </w:r>
      <w:r>
        <w:rPr>
          <w:rFonts w:hint="default" w:ascii="Times New Roman" w:hAnsi="Times New Roman" w:cs="Times New Roman"/>
        </w:rPr>
        <w:t>申报承诺书，由</w:t>
      </w:r>
      <w:r>
        <w:rPr>
          <w:rFonts w:hint="default" w:ascii="Times New Roman" w:hAnsi="Times New Roman" w:cs="Times New Roman"/>
          <w:b/>
          <w:bCs/>
        </w:rPr>
        <w:t>申报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单位</w:t>
      </w:r>
      <w:r>
        <w:rPr>
          <w:rFonts w:hint="default" w:ascii="Times New Roman" w:hAnsi="Times New Roman" w:cs="Times New Roman"/>
          <w:b/>
          <w:bCs/>
        </w:rPr>
        <w:t>法人代表或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相关领导</w:t>
      </w:r>
      <w:r>
        <w:rPr>
          <w:rFonts w:hint="default" w:ascii="Times New Roman" w:hAnsi="Times New Roman" w:cs="Times New Roman"/>
          <w:b/>
          <w:bCs/>
        </w:rPr>
        <w:t>签字并加盖公章</w:t>
      </w:r>
      <w:r>
        <w:rPr>
          <w:rFonts w:hint="default" w:ascii="Times New Roman" w:hAnsi="Times New Roman" w:cs="Times New Roma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申报单位需有推荐单位推荐，推荐单位需撰写推荐意见并加盖</w:t>
      </w:r>
      <w:r>
        <w:rPr>
          <w:rFonts w:hint="default" w:ascii="Times New Roman" w:hAnsi="Times New Roman" w:cs="Times New Roman"/>
        </w:rPr>
        <w:t>公章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全国</w:t>
      </w:r>
      <w:r>
        <w:rPr>
          <w:rFonts w:hint="default" w:ascii="Times New Roman" w:hAnsi="Times New Roman" w:cs="Times New Roman"/>
        </w:rPr>
        <w:t>质量</w:t>
      </w:r>
      <w:r>
        <w:rPr>
          <w:rFonts w:hint="default" w:ascii="Times New Roman" w:hAnsi="Times New Roman" w:cs="Times New Roman"/>
          <w:lang w:val="en-US" w:eastAsia="zh-CN"/>
        </w:rPr>
        <w:t>标杆</w:t>
      </w:r>
      <w:r>
        <w:rPr>
          <w:rFonts w:hint="default" w:ascii="Times New Roman" w:hAnsi="Times New Roman" w:cs="Times New Roman"/>
        </w:rPr>
        <w:t>申报材料由申报</w:t>
      </w:r>
      <w:r>
        <w:rPr>
          <w:rFonts w:hint="default" w:ascii="Times New Roman" w:hAnsi="Times New Roman" w:cs="Times New Roman"/>
          <w:lang w:val="en-US" w:eastAsia="zh-CN"/>
        </w:rPr>
        <w:t>书和典型经验材料</w:t>
      </w:r>
      <w:r>
        <w:rPr>
          <w:rFonts w:hint="default" w:ascii="Times New Roman" w:hAnsi="Times New Roman" w:cs="Times New Roman"/>
        </w:rPr>
        <w:t>组成，材料内容不得涉及国家秘密。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相关表格需</w:t>
      </w:r>
      <w:r>
        <w:rPr>
          <w:rFonts w:hint="default" w:ascii="Times New Roman" w:hAnsi="Times New Roman" w:cs="Times New Roman"/>
        </w:rPr>
        <w:t>结合实际情况如实填写，指标名称与特殊行业常用测量指标不一致的，以行业常用指</w:t>
      </w:r>
      <w:r>
        <w:rPr>
          <w:rFonts w:hint="default" w:ascii="Times New Roman" w:hAnsi="Times New Roman" w:eastAsia="宋体" w:cs="Times New Roman"/>
          <w:lang w:val="en-US" w:eastAsia="zh-CN"/>
        </w:rPr>
        <w:t>标填写；各表具体要求见表后“注”，需按年度填写的指标是指申报当年之前连续三年的指标。如表内填不下可另加附页。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请将加盖公章的申报书、典型经验材料和证明材料等三个文件的word版打包压缩成RAR格式文件,以“申报企业全称”命名上传至申报系统，并发送到指定邮箱：qmb@caq.org.cn。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  <w:rPr>
          <w:rFonts w:hint="default" w:ascii="Times New Roman" w:hAnsi="Times New Roman" w:eastAsia="宋体" w:cs="Times New Roman"/>
          <w:lang w:val="en-US" w:eastAsia="zh-CN"/>
        </w:rPr>
        <w:sectPr>
          <w:footerReference r:id="rId3" w:type="default"/>
          <w:pgSz w:w="11906" w:h="16838"/>
          <w:pgMar w:top="1531" w:right="1418" w:bottom="1531" w:left="1418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我们在申报全国质量标杆过程中做出如下承诺：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本单位自愿申报全国质量标杆。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严格遵守《2022年全国质量标杆遴选及交流实施办法》的有关规定，恪守社会公德、企业道德，不采取请客送礼等不正当手段，干扰全国质量标杆评审工作。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在评审过程中，对全国质量标杆工作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本单位对上述条款做出郑重承诺，并在申报全国质量标杆过程中严格遵守。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高层签字：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="1335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7"/>
        <w:gridCol w:w="2437"/>
        <w:gridCol w:w="1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  <w:t>统一社会信用代码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行业分类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组织规模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申报方向（可多选）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Cs/>
                <w:spacing w:val="-14"/>
                <w:sz w:val="24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24"/>
                <w:szCs w:val="4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val="en-US" w:eastAsia="zh-CN"/>
              </w:rPr>
              <w:t>质量管理体系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</w:rPr>
              <w:t>质量管理数字化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24"/>
                <w:szCs w:val="40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</w:rPr>
              <w:t>可靠性提升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val="en-US" w:eastAsia="zh-CN"/>
              </w:rPr>
              <w:t>过程控制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</w:rPr>
              <w:t>质量管理方法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4"/>
                <w:szCs w:val="40"/>
              </w:rPr>
              <w:t>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-4"/>
                <w:lang w:val="en-US" w:eastAsia="zh-CN"/>
              </w:rPr>
              <w:t>主导</w:t>
            </w:r>
            <w:r>
              <w:rPr>
                <w:rFonts w:hint="default" w:ascii="Times New Roman" w:hAnsi="Times New Roman" w:cs="Times New Roman"/>
                <w:b/>
                <w:bCs w:val="0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市场占有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份额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年度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国际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国际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国内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国际</w:t>
            </w:r>
          </w:p>
        </w:tc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hint="default" w:ascii="Times New Roman" w:hAnsi="Times New Roman" w:cs="Times New Roman"/>
                <w:bCs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满意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2019年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18"/>
              </w:rPr>
              <w:t xml:space="preserve">自评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bCs/>
                <w:sz w:val="15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2020年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18"/>
              </w:rPr>
              <w:t xml:space="preserve">自评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bCs/>
                <w:sz w:val="15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2021年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忠诚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 w:val="0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2019年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2020年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2021年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bCs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rPr>
          <w:rFonts w:hint="default" w:ascii="Times New Roman" w:hAnsi="Times New Roman" w:eastAsia="仿宋_GB2312" w:cs="Times New Roman"/>
          <w:bCs/>
          <w:sz w:val="24"/>
        </w:rPr>
      </w:pPr>
    </w:p>
    <w:p>
      <w:pPr>
        <w:spacing w:line="340" w:lineRule="exact"/>
        <w:rPr>
          <w:rFonts w:ascii="Times New Roman" w:hAnsi="Times New Roman" w:eastAsia="楷体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注：提供顾客满意度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忠诚度</w:t>
      </w:r>
      <w:r>
        <w:rPr>
          <w:rFonts w:hint="default" w:ascii="Times New Roman" w:hAnsi="Times New Roman" w:eastAsia="仿宋_GB2312" w:cs="Times New Roman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default" w:ascii="Times New Roman" w:hAnsi="Times New Roman" w:cs="Times New Roman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经济效益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275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0" w:leftChars="-50" w:right="-105" w:rightChars="-50" w:hanging="105" w:hangingChars="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项</w:t>
            </w:r>
            <w:r>
              <w:rPr>
                <w:rFonts w:ascii="Times New Roman" w:hAnsi="Times New Roman" w:cs="Times New Roman"/>
                <w:bCs/>
                <w:sz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1"/>
              </w:rPr>
              <w:t>目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单位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sz w:val="21"/>
              </w:rPr>
              <w:t>2019年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sz w:val="21"/>
              </w:rPr>
              <w:t>2020年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sz w:val="21"/>
              </w:rPr>
              <w:t>2021年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bCs/>
                <w:sz w:val="21"/>
              </w:rPr>
              <w:t>行业平均水平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bCs/>
                <w:sz w:val="21"/>
              </w:rPr>
              <w:t>行业最佳水平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bCs/>
                <w:sz w:val="21"/>
              </w:rPr>
              <w:t>本</w:t>
            </w: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bCs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资产总额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pacing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  <w:szCs w:val="4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主营业务收入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pacing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利润总额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pacing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流动资产周转率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全员劳动生产率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pacing w:val="-14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设备综合效率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质量损失率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spacing w:val="-8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spacing w:val="-12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spacing w:val="-8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spacing w:val="-12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pacing w:val="-8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spacing w:val="-12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hint="default" w:ascii="Times New Roman" w:hAnsi="Times New Roman" w:eastAsia="仿宋_GB2312" w:cs="Times New Roman"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eastAsia="楷体_GB2312" w:cs="Times New Roman"/>
          <w:bCs/>
          <w:spacing w:val="-12"/>
          <w:sz w:val="24"/>
        </w:rPr>
      </w:pP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注：非制造业可根据行业实际情况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进行删减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并增加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本行业的相关经济指标及结果。</w:t>
      </w: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sz w:val="24"/>
          <w:szCs w:val="21"/>
        </w:rPr>
      </w:pPr>
    </w:p>
    <w:p>
      <w:pPr>
        <w:spacing w:before="120" w:beforeLines="50" w:after="120" w:afterLines="50" w:line="340" w:lineRule="exact"/>
        <w:jc w:val="both"/>
        <w:rPr>
          <w:rFonts w:hint="default" w:ascii="Times New Roman" w:hAnsi="Times New Roman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bCs/>
          <w:sz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bCs/>
          <w:sz w:val="24"/>
        </w:rPr>
      </w:pPr>
    </w:p>
    <w:tbl>
      <w:tblPr>
        <w:tblStyle w:val="6"/>
        <w:tblpPr w:leftFromText="180" w:rightFromText="180" w:vertAnchor="text" w:horzAnchor="page" w:tblpX="1315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有效利用资源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bCs/>
          <w:sz w:val="24"/>
        </w:rPr>
      </w:pPr>
    </w:p>
    <w:p>
      <w:pPr>
        <w:spacing w:line="340" w:lineRule="exact"/>
        <w:rPr>
          <w:rFonts w:hint="default" w:ascii="Times New Roman" w:hAnsi="Times New Roman" w:eastAsia="仿宋_GB2312" w:cs="Times New Roman"/>
          <w:bCs/>
          <w:sz w:val="36"/>
          <w:lang w:eastAsia="zh-CN"/>
        </w:rPr>
        <w:sectPr>
          <w:footerReference r:id="rId4" w:type="default"/>
          <w:pgSz w:w="11906" w:h="16838"/>
          <w:pgMar w:top="1134" w:right="1418" w:bottom="1134" w:left="141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可根据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行业实际情况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default" w:ascii="Times New Roman" w:hAnsi="Times New Roman" w:eastAsia="仿宋_GB2312" w:cs="Times New Roman"/>
          <w:bCs/>
          <w:sz w:val="24"/>
        </w:rPr>
        <w:t>产业链与供应链发展的贡献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可选取适宜的指标反映，也可直接进行文字阐述；</w:t>
      </w:r>
      <w:r>
        <w:rPr>
          <w:rFonts w:hint="default" w:ascii="Times New Roman" w:hAnsi="Times New Roman" w:eastAsia="仿宋_GB2312" w:cs="Times New Roman"/>
          <w:bCs/>
          <w:sz w:val="24"/>
        </w:rPr>
        <w:t>环保、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资源利用等</w:t>
      </w:r>
      <w:r>
        <w:rPr>
          <w:rFonts w:hint="default" w:ascii="Times New Roman" w:hAnsi="Times New Roman" w:eastAsia="仿宋_GB2312" w:cs="Times New Roman"/>
          <w:bCs/>
          <w:sz w:val="24"/>
        </w:rPr>
        <w:t>指标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Cs/>
          <w:sz w:val="24"/>
        </w:rPr>
        <w:t>按国家/行业要求项目填写，并提供证实性材料。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主要竞争对手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及其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标杆名录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800"/>
        <w:gridCol w:w="1260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产品/服务名称</w:t>
            </w:r>
          </w:p>
        </w:tc>
        <w:tc>
          <w:tcPr>
            <w:tcW w:w="28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竞争对手/标杆名称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市场份额</w:t>
            </w:r>
          </w:p>
        </w:tc>
        <w:tc>
          <w:tcPr>
            <w:tcW w:w="39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主要优势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bCs/>
          <w:sz w:val="2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  <w:r>
        <w:rPr>
          <w:rFonts w:hint="default" w:ascii="Times New Roman" w:hAnsi="Times New Roman" w:cs="Times New Roman"/>
          <w:bCs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。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br w:type="page"/>
      </w:r>
    </w:p>
    <w:p>
      <w:pPr>
        <w:widowControl/>
        <w:jc w:val="center"/>
        <w:rPr>
          <w:rFonts w:hint="default" w:ascii="Times New Roman" w:hAnsi="Times New Roman" w:eastAsia="方正黑体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 w:val="44"/>
          <w:szCs w:val="44"/>
          <w:lang w:eastAsia="zh-CN"/>
        </w:rPr>
        <w:t>全国质量标杆推荐表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  <w:jc w:val="center"/>
        </w:trPr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推荐意见：                        </w:t>
            </w:r>
          </w:p>
          <w:p>
            <w:pPr>
              <w:spacing w:beforeLines="0" w:afterLines="0"/>
              <w:ind w:firstLine="5880" w:firstLineChars="2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firstLine="6440" w:firstLineChars="2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盖章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72" w:y="307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Style w:val="10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53E55C3"/>
    <w:rsid w:val="153E55C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1356</Words>
  <Characters>1453</Characters>
  <Lines>0</Lines>
  <Paragraphs>0</Paragraphs>
  <TotalTime>4</TotalTime>
  <ScaleCrop>false</ScaleCrop>
  <LinksUpToDate>false</LinksUpToDate>
  <CharactersWithSpaces>1731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2022-06-17T01:19:00Z</dcterms:created>
  <dc:creator>薛尤嘉</dc:creator>
  <cp:lastModifiedBy>薛尤嘉</cp:lastModifiedBy>
  <dcterms:modified xsi:type="dcterms:W3CDTF">2022-06-17T01:24:11Z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F7FC0A00E48C4C9DBE0A275EFFDF7D4C</vt:lpwstr>
  </property>
</Properties>
</file>