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 w:cs="仿宋_GB2312"/>
          <w:b/>
          <w:sz w:val="44"/>
          <w:szCs w:val="44"/>
        </w:rPr>
        <w:t>河北省2021年第五批拟更名高新技术企业名单</w:t>
      </w:r>
    </w:p>
    <w:bookmarkEnd w:id="0"/>
    <w:tbl>
      <w:tblPr>
        <w:tblpPr w:leftFromText="180" w:rightFromText="180" w:vertAnchor="text" w:horzAnchor="page" w:tblpXSpec="center" w:tblpY="631"/>
        <w:tblOverlap w:val="never"/>
        <w:tblW w:w="13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92"/>
        <w:gridCol w:w="3402"/>
        <w:gridCol w:w="3573"/>
        <w:gridCol w:w="2714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更名前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更名后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归口单位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证书号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河北雨农灌溉设备制造有限公司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河北雨农水务科技有限公司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保定市科技局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GR201913000872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河北子丰生物科技有限公司 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河北肽丰生物科技有限公司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邯郸市科技局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GR201813001718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河北鑫淘源环保科技有限公司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河北鑫淘沅医药科技有限公司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邯郸市科技局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GR202013000805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廊坊芳远新合电气有限公司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廊坊芳远新合电气股份有限公司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廊坊市科技局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GR202013000583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石家庄清岚环保科技有限公司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清岚环保科技有限公司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石家庄高新区科技局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GR201913000403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河北大来也网络科技有限公司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河北中科复兴科技有限公司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石家庄高新区科技局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GR201913002050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河北建设勘察研究院有限公司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中冀建勘集团有限公司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石家庄市科技局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GR201913000105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迁安市衡安钢结构有限公司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唐山市衡安钢结构有限公司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唐山市科技局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GR201913002661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万尔特（唐山）钢结构有限公司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万尔特钢结构集团有限公司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唐山市科技局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GR201813001143</w:t>
            </w: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dit="comment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445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2021-10-25T08:41:00Z</dcterms:created>
  <dc:creator>曾红兵</dc:creator>
  <cp:lastModifiedBy>韩彩霄</cp:lastModifiedBy>
  <cp:lastPrinted>2021-10-25T08:30:00Z</cp:lastPrinted>
  <dcterms:modified xsi:type="dcterms:W3CDTF">2021-10-25T08:49:18Z</dcterms:modified>
  <dc:title>河北省高新技术企业认定管理工作领导小组办公室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