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 w:cs="仿宋"/>
          <w:b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sz w:val="32"/>
          <w:szCs w:val="32"/>
        </w:rPr>
        <w:t>河北省临床医学研究中心申请备案评审指标</w:t>
      </w:r>
    </w:p>
    <w:bookmarkEnd w:id="0"/>
    <w:tbl>
      <w:tblPr>
        <w:tblStyle w:val="3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4"/>
        <w:gridCol w:w="1475"/>
        <w:gridCol w:w="5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一级指标</w:t>
            </w:r>
          </w:p>
        </w:tc>
        <w:tc>
          <w:tcPr>
            <w:tcW w:w="1475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二级指标</w:t>
            </w:r>
          </w:p>
        </w:tc>
        <w:tc>
          <w:tcPr>
            <w:tcW w:w="5851" w:type="dxa"/>
            <w:vAlign w:val="top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一、条件建设（25分）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三级甲等医院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依托单位具备三级甲等医院资格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省级重点实验室或工程研究中心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所依托的科室是省级重点实验室或工程研究中心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GCP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所在依托单位具备药物临床试验资格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4、协同网络成员单位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协同创新网络成员单位5家以上,需包含市、县级医院等不同层次的临床研究机构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5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实验平台建设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依托单位根据临床医学研究中心建设需要，建设有医学实验和临床检测平台，实验动物技术服务平台，可研究性临床数据资源储存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处理平台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sz w:val="24"/>
              </w:rPr>
              <w:t>生物样本库等至少1类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二、资源（25分）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场地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有专门场地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运行经费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所在依托单位每年至少投入50万元运行经费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设备情况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具备基本临床研究的仪器设备条件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人员情况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配备专职科研助理、实验技术人员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三、制度建设（20分）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学术委员会和专家咨询委员会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成立学术委员会和专家咨询委员会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内部管理制度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包括中心5年发展规划、临床研究伦理审查制度、临床研究病例规范管理制度、临床研究实验室管理相关制度等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网络单位协同机制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协同网络单位组织模式、利益共享机制及成果转化途径等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restart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四、研究能力（30分）</w:t>
            </w: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科研项目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主持或参与国家临床研究项目，主持省级临床研究项目情况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科研产出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国家或省部级奖励、高水平论文、临床诊疗规范和指南被采纳情况等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队列研究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临床队列研究的数量、人次、规范性等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314" w:type="dxa"/>
            <w:vMerge w:val="continue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1475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.</w:t>
            </w:r>
            <w:r>
              <w:rPr>
                <w:rFonts w:hint="eastAsia" w:ascii="宋体" w:hAnsi="宋体" w:cs="宋体"/>
                <w:sz w:val="24"/>
              </w:rPr>
              <w:t>开发能力</w:t>
            </w:r>
          </w:p>
        </w:tc>
        <w:tc>
          <w:tcPr>
            <w:tcW w:w="5851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制定的标准、专利及形成的新药证书、器械等</w:t>
            </w:r>
          </w:p>
        </w:tc>
      </w:tr>
    </w:tbl>
    <w:p>
      <w:pPr>
        <w:ind w:firstLine="627" w:firstLineChars="196"/>
        <w:rPr>
          <w:rFonts w:ascii="仿宋_GB2312" w:hAns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F82FF1"/>
    <w:rsid w:val="4BF82F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2017-09-26T06:31:00Z</dcterms:created>
  <dc:creator>Administrator</dc:creator>
  <cp:lastModifiedBy>Administrator</cp:lastModifiedBy>
  <dcterms:modified xsi:type="dcterms:W3CDTF">2017-09-26T06:33:28Z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